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/>
        <w:jc w:val="center"/>
        <w:textAlignment w:val="auto"/>
        <w:outlineLvl w:val="9"/>
        <w:rPr>
          <w:rFonts w:ascii="Times New Roman" w:hAnsi="Times New Roman" w:eastAsia="华文中宋" w:cs="Times New Roman"/>
          <w:b w:val="0"/>
          <w:bCs w:val="0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 w:cs="Times New Roman"/>
          <w:b w:val="0"/>
          <w:bCs w:val="0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思想铸魂 网育新人</w:t>
      </w:r>
    </w:p>
    <w:p>
      <w:pPr>
        <w:spacing w:line="480" w:lineRule="exact"/>
        <w:jc w:val="center"/>
        <w:rPr>
          <w:rFonts w:ascii="Times New Roman" w:hAnsi="Times New Roman" w:eastAsia="华文中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华文中宋" w:cs="Times New Roman"/>
          <w:color w:val="000000" w:themeColor="text1"/>
          <w:sz w:val="36"/>
          <w:szCs w:val="36"/>
          <w:lang w:eastAsia="zh-CN"/>
          <w14:textFill>
            <w14:solidFill>
              <w14:schemeClr w14:val="tx1"/>
            </w14:solidFill>
          </w14:textFill>
        </w:rPr>
        <w:t>大思政课</w:t>
      </w:r>
      <w:r>
        <w:rPr>
          <w:rFonts w:hint="eastAsia" w:ascii="Times New Roman" w:hAnsi="Times New Roman" w:eastAsia="华文中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优秀</w:t>
      </w:r>
      <w:r>
        <w:rPr>
          <w:rFonts w:hint="eastAsia" w:ascii="Times New Roman" w:hAnsi="Times New Roman" w:eastAsia="华文中宋" w:cs="Times New Roman"/>
          <w:color w:val="000000" w:themeColor="text1"/>
          <w:sz w:val="36"/>
          <w:szCs w:val="36"/>
          <w:lang w:eastAsia="zh-Hans"/>
          <w14:textFill>
            <w14:solidFill>
              <w14:schemeClr w14:val="tx1"/>
            </w14:solidFill>
          </w14:textFill>
        </w:rPr>
        <w:t>案例</w:t>
      </w:r>
      <w:r>
        <w:rPr>
          <w:rFonts w:ascii="Times New Roman" w:hAnsi="Times New Roman" w:eastAsia="华文中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征集活动</w:t>
      </w:r>
      <w:r>
        <w:rPr>
          <w:rFonts w:hint="eastAsia" w:ascii="Times New Roman" w:hAnsi="Times New Roman" w:eastAsia="华文中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  <w:t>公告</w:t>
      </w:r>
    </w:p>
    <w:p>
      <w:pPr>
        <w:spacing w:line="480" w:lineRule="exact"/>
        <w:jc w:val="center"/>
        <w:rPr>
          <w:rFonts w:ascii="Times New Roman" w:hAnsi="Times New Roman" w:eastAsia="华文中宋" w:cs="Times New Roman"/>
          <w:color w:val="000000" w:themeColor="text1"/>
          <w:sz w:val="36"/>
          <w:szCs w:val="36"/>
          <w14:textFill>
            <w14:solidFill>
              <w14:schemeClr w14:val="tx1"/>
            </w14:solidFill>
          </w14:textFill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为深入贯彻落实习近平总书记关于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大思政课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和青年工作系列重要指示精神，强化青年思想政治引领，不断提高网络育人能力，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现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开展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:lang w:eastAsia="zh-CN"/>
          <w14:textFill>
            <w14:solidFill>
              <w14:schemeClr w14:val="tx1"/>
            </w14:solidFill>
          </w14:textFill>
        </w:rPr>
        <w:t>大思政课</w:t>
      </w:r>
      <w:r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  <w:t>优秀案例征集活动。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一</w:t>
      </w:r>
      <w:r>
        <w:rPr>
          <w:rFonts w:hint="default" w:ascii="Times New Roman" w:hAnsi="Times New Roman" w:eastAsia="黑体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、活动主题</w:t>
      </w:r>
    </w:p>
    <w:p>
      <w:pPr>
        <w:keepNext w:val="0"/>
        <w:keepLines w:val="0"/>
        <w:pageBreakBefore w:val="0"/>
        <w:widowControl w:val="0"/>
        <w:kinsoku/>
        <w:overflowPunct/>
        <w:topLinePunct w:val="0"/>
        <w:autoSpaceDE/>
        <w:autoSpaceDN/>
        <w:bidi w:val="0"/>
        <w:adjustRightInd/>
        <w:snapToGrid/>
        <w:spacing w:line="520" w:lineRule="exact"/>
        <w:ind w:firstLine="600" w:firstLineChars="200"/>
        <w:textAlignment w:val="auto"/>
        <w:rPr>
          <w:rFonts w:hint="eastAsia" w:ascii="仿宋" w:hAnsi="仿宋" w:eastAsia="仿宋" w:cs="仿宋"/>
          <w:color w:val="000000" w:themeColor="text1"/>
          <w:sz w:val="30"/>
          <w:szCs w:val="30"/>
          <w:shd w:val="clear" w:color="auto" w:fill="FFFFFF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思想铸魂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 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网育新人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0" w:firstLineChars="200"/>
        <w:textAlignment w:val="auto"/>
        <w:outlineLvl w:val="9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二、组织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/>
          <w14:textFill>
            <w14:solidFill>
              <w14:schemeClr w14:val="tx1"/>
            </w14:solidFill>
          </w14:textFill>
        </w:rPr>
        <w:t>机构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指导单位：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 xml:space="preserve">中央网信办网络传播局 共青团中央宣传部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主办单位：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人民网 中国青年报社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left="0" w:leftChars="0" w:right="0" w:rightChars="0" w:firstLine="602" w:firstLineChars="200"/>
        <w:textAlignment w:val="auto"/>
        <w:outlineLvl w:val="9"/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" w:hAnsi="仿宋" w:eastAsia="仿宋" w:cs="仿宋"/>
          <w:b/>
          <w:bCs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承办单位：</w:t>
      </w:r>
      <w:r>
        <w:rPr>
          <w:rFonts w:hint="eastAsia" w:ascii="仿宋" w:hAnsi="仿宋" w:eastAsia="仿宋" w:cs="仿宋"/>
          <w:b w:val="0"/>
          <w:bCs w:val="0"/>
          <w:i w:val="0"/>
          <w:iCs w:val="0"/>
          <w:caps w:val="0"/>
          <w:color w:val="000000" w:themeColor="text1"/>
          <w:spacing w:val="0"/>
          <w:sz w:val="30"/>
          <w:szCs w:val="30"/>
          <w:u w:val="none" w:color="auto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中国青年网 人民视频</w:t>
      </w:r>
    </w:p>
    <w:p>
      <w:pPr>
        <w:spacing w:line="480" w:lineRule="exact"/>
        <w:ind w:firstLine="600" w:firstLineChars="200"/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eastAsia="zh-CN"/>
          <w14:textFill>
            <w14:solidFill>
              <w14:schemeClr w14:val="tx1"/>
            </w14:solidFill>
          </w14:textFill>
        </w:rPr>
        <w:t>三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t>、征集</w:t>
      </w: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方向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 w:cs="Times New Roman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b w:val="0"/>
          <w:bCs w:val="0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以习近平新时代中国特色社会主义思想为指导，紧紧围绕推进中国式现代化这个最大的政治，结合各地区各领域在新时代进行的生动实践，面向全社会征集“小切口讲大道理”的大思政课网络内容产品、品牌栏目、互动活动、网络服务、网络应用等素材案例，“提高针对性和吸引力”的大思政课教学大纲、教学手册、教学路线、教学资源包等专题案例，以及“开门办思政课”的大思政课机制创新、队伍建设、资源开发、成果共享、条件保障、数字赋能等工作案例，进一步推动学校小课堂同社会大课堂、网络云课堂紧密结合。鼓励运用互联网思维，聚焦小角度、大主题，通过故事讲述、经典解读、数据表达、场景展示等，善用大思政课，把道理讲深、讲透、讲活。</w:t>
      </w:r>
    </w:p>
    <w:p>
      <w:pPr>
        <w:spacing w:line="480" w:lineRule="exact"/>
        <w:ind w:firstLine="600" w:firstLineChars="200"/>
        <w:rPr>
          <w:rFonts w:hint="default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四、征集范围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/>
          <w14:textFill>
            <w14:solidFill>
              <w14:schemeClr w14:val="tx1"/>
            </w14:solidFill>
          </w14:textFill>
        </w:rPr>
        <w:t>参与组织实施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大思政课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/>
          <w14:textFill>
            <w14:solidFill>
              <w14:schemeClr w14:val="tx1"/>
            </w14:solidFill>
          </w14:textFill>
        </w:rPr>
        <w:t>工作的教育、网信等部门，共青团等群团组织，各级各类参与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大思政课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/>
          <w14:textFill>
            <w14:solidFill>
              <w14:schemeClr w14:val="tx1"/>
            </w14:solidFill>
          </w14:textFill>
        </w:rPr>
        <w:t>建设的媒体网站、学校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 w:eastAsia="zh-CN"/>
          <w14:textFill>
            <w14:solidFill>
              <w14:schemeClr w14:val="tx1"/>
            </w14:solidFill>
          </w14:textFill>
        </w:rPr>
        <w:t>等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highlight w:val="none"/>
          <w:lang w:val="en-US"/>
          <w14:textFill>
            <w14:solidFill>
              <w14:schemeClr w14:val="tx1"/>
            </w14:solidFill>
          </w14:textFill>
        </w:rPr>
        <w:t>企事业单位。</w:t>
      </w:r>
    </w:p>
    <w:p>
      <w:pPr>
        <w:spacing w:line="480" w:lineRule="exact"/>
        <w:ind w:firstLine="600" w:firstLineChars="200"/>
        <w:rPr>
          <w:rFonts w:hint="default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五、案例要求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2023年1月1日至2024年6月18日期间开展的各项活动、推出的各类产品、实施的各项工作等。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1.坚持以习近平新时代中国特色社会主义思想为指导，把握正确政治方向，体现思想性、理论性、实践性。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2.围绕落实立德树人根本任务，突出铸魂育人，强化青年思想政治引领，引导形成思想共鸣、价值认同、情感联结。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3.紧扣重大理论和实践问题，坚持正确导向，主题鲜明，立意深刻，唱响主旋律、弘扬正能量。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4.鼓励突出网络特色，强化新技术、新手段、新载体赋能，呈现样态和话语形态创新，体现示范性、引领性和亲和力、感染力。</w:t>
      </w:r>
    </w:p>
    <w:p>
      <w:pPr>
        <w:spacing w:line="480" w:lineRule="exact"/>
        <w:ind w:firstLine="600" w:firstLineChars="200"/>
        <w:rPr>
          <w:rFonts w:hint="default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六、申报形式</w:t>
      </w:r>
    </w:p>
    <w:p>
      <w:pPr>
        <w:spacing w:line="480" w:lineRule="exact"/>
        <w:ind w:firstLine="600" w:firstLineChars="200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报名材料需真实准确介绍案例内容、取得成效、传播效果等，并由所在单位审核盖章后上传提交。支撑材料为展现案例效果的相关内容或作品，形式为视频、音频、图文、H5、网络专题、课件等。文件及压缩包命名格式为：申报第一单位+案例名称。每个单位推荐案例不超过5个。</w:t>
      </w:r>
    </w:p>
    <w:p>
      <w:pPr>
        <w:spacing w:line="480" w:lineRule="exact"/>
        <w:ind w:firstLine="600" w:firstLineChars="200"/>
        <w:rPr>
          <w:rFonts w:hint="default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七、参与方式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0" w:leftChars="0" w:right="0" w:rightChars="0" w:firstLine="600" w:firstLineChars="200"/>
        <w:textAlignment w:val="auto"/>
        <w:outlineLvl w:val="9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登录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官方专题（人民网专题链接：https://pugc.people.cn/davmu/share/clientupload，中国青年网专题链接：https://txs.youth.cn/zt/sxzh/），或扫描以下二维码</w:t>
      </w:r>
      <w:r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提交</w:t>
      </w: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有关材料。</w:t>
      </w:r>
    </w:p>
    <w:p>
      <w:pPr>
        <w:jc w:val="center"/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/>
          <w:lang w:val="en-US" w:eastAsia="zh-CN"/>
        </w:rPr>
        <w:drawing>
          <wp:inline distT="0" distB="0" distL="114300" distR="114300">
            <wp:extent cx="2571750" cy="2571750"/>
            <wp:effectExtent l="0" t="0" r="0" b="0"/>
            <wp:docPr id="1" name="图片 1" descr="52f5f333e61b2c4f8fbeb133cfb85de6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52f5f333e61b2c4f8fbeb133cfb85de6_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571750" cy="2571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lang w:val="en-US" w:eastAsia="zh-CN"/>
        </w:rPr>
        <w:drawing>
          <wp:inline distT="0" distB="0" distL="114300" distR="114300">
            <wp:extent cx="2598420" cy="2598420"/>
            <wp:effectExtent l="0" t="0" r="11430" b="11430"/>
            <wp:docPr id="2" name="图片 2" descr="青网专题二维码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青网专题二维码2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2598420" cy="25984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line="480" w:lineRule="exact"/>
        <w:ind w:firstLine="600" w:firstLineChars="200"/>
        <w:rPr>
          <w:rFonts w:hint="default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八、</w:t>
      </w:r>
      <w:r>
        <w:rPr>
          <w:rFonts w:hint="default" w:ascii="黑体" w:hAnsi="黑体" w:eastAsia="黑体" w:cs="黑体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版权说明</w:t>
      </w:r>
    </w:p>
    <w:p>
      <w:pPr>
        <w:spacing w:line="480" w:lineRule="exact"/>
        <w:ind w:firstLine="600" w:firstLineChars="200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申报案例及其支撑材料须为原创作品，无版权问题，不侵犯第三人的包括著作权、肖像权、名誉权、隐私权等在内的任何权利。如涉及相关权益纠纷，活动组织单位将取消有关申报主体参与活动资格。参与活动即视为同意将申报材料的信息网络传播权、复制权、改编权、汇编权等授权给活动组织单位使用。</w:t>
      </w:r>
      <w:r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textAlignment w:val="auto"/>
        <w:outlineLvl w:val="9"/>
        <w:rPr>
          <w:rFonts w:hint="default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0"/>
          <w:szCs w:val="30"/>
          <w:lang w:val="en-US" w:eastAsia="zh-CN"/>
          <w14:textFill>
            <w14:solidFill>
              <w14:schemeClr w14:val="tx1"/>
            </w14:solidFill>
          </w14:textFill>
        </w:rPr>
        <w:t>附件1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Times New Roman" w:hAnsi="Times New Roman" w:eastAsia="仿宋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大思政课优秀案例征集</w:t>
      </w:r>
      <w:bookmarkStart w:id="0" w:name="_GoBack"/>
      <w:bookmarkEnd w:id="0"/>
      <w:r>
        <w:rPr>
          <w:rFonts w:hint="eastAsia" w:ascii="Times New Roman" w:hAnsi="Times New Roman" w:eastAsia="仿宋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  <w:t>活动申报表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20" w:lineRule="exact"/>
        <w:ind w:right="0" w:rightChars="0"/>
        <w:jc w:val="center"/>
        <w:textAlignment w:val="auto"/>
        <w:outlineLvl w:val="9"/>
        <w:rPr>
          <w:rFonts w:hint="eastAsia" w:ascii="Times New Roman" w:hAnsi="Times New Roman" w:eastAsia="仿宋" w:cs="Times New Roman"/>
          <w:color w:val="000000" w:themeColor="text1"/>
          <w:sz w:val="36"/>
          <w:szCs w:val="36"/>
          <w:lang w:val="en-US" w:eastAsia="zh-CN"/>
          <w14:textFill>
            <w14:solidFill>
              <w14:schemeClr w14:val="tx1"/>
            </w14:solidFill>
          </w14:textFill>
        </w:rPr>
      </w:pPr>
    </w:p>
    <w:tbl>
      <w:tblPr>
        <w:tblStyle w:val="9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17"/>
        <w:gridCol w:w="2892"/>
        <w:gridCol w:w="1446"/>
        <w:gridCol w:w="28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案例名称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（40字内）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申报单位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（多个单位中间加顿号，并标注第一申报单位）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主创人员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（多个名字中间加顿号）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2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联系人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所在单位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3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联系电话</w:t>
            </w:r>
          </w:p>
        </w:tc>
        <w:tc>
          <w:tcPr>
            <w:tcW w:w="2892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446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联系邮箱</w:t>
            </w:r>
          </w:p>
        </w:tc>
        <w:tc>
          <w:tcPr>
            <w:tcW w:w="2893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7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联系地址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0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案例介绍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（1000字内）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8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取得成效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（500字内）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传播效果</w:t>
            </w: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（500字内）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案例链接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9" w:hRule="atLeast"/>
        </w:trPr>
        <w:tc>
          <w:tcPr>
            <w:tcW w:w="1717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单位意见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center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21"/>
                <w:szCs w:val="21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（所有申报单位盖章）</w:t>
            </w:r>
          </w:p>
        </w:tc>
        <w:tc>
          <w:tcPr>
            <w:tcW w:w="7231" w:type="dxa"/>
            <w:gridSpan w:val="3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both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单位名称：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（盖章）                   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 w:val="0"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right="0" w:rightChars="0"/>
              <w:jc w:val="right"/>
              <w:textAlignment w:val="auto"/>
              <w:outlineLvl w:val="9"/>
              <w:rPr>
                <w:rFonts w:hint="default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Times New Roman" w:hAnsi="Times New Roman" w:eastAsia="仿宋" w:cs="Times New Roman"/>
                <w:color w:val="000000" w:themeColor="text1"/>
                <w:sz w:val="30"/>
                <w:szCs w:val="30"/>
                <w:vertAlign w:val="baseline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日期：                  </w:t>
            </w:r>
          </w:p>
        </w:tc>
      </w:tr>
    </w:tbl>
    <w:p>
      <w:pPr>
        <w:spacing w:line="480" w:lineRule="exact"/>
        <w:rPr>
          <w:rFonts w:ascii="Times New Roman" w:hAnsi="Times New Roman" w:eastAsia="仿宋" w:cs="Times New Roman"/>
          <w:color w:val="000000" w:themeColor="text1"/>
          <w:sz w:val="30"/>
          <w:szCs w:val="30"/>
          <w14:textFill>
            <w14:solidFill>
              <w14:schemeClr w14:val="tx1"/>
            </w14:solidFill>
          </w14:textFill>
        </w:rPr>
      </w:pPr>
    </w:p>
    <w:sectPr>
      <w:footerReference r:id="rId3" w:type="default"/>
      <w:pgSz w:w="11906" w:h="16838"/>
      <w:pgMar w:top="1984" w:right="1587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0" distR="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4097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- 2 -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- 2 -</w:t>
                    </w:r>
                    <w: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I3YTBkZTdiY2QxZDFiOTRlZGRhZmIwNDUzOTQxMWQifQ=="/>
    <w:docVar w:name="KSO_WPS_MARK_KEY" w:val="a3810e7b-c69a-4c8a-9955-ca417d8632ea"/>
  </w:docVars>
  <w:rsids>
    <w:rsidRoot w:val="007F661D"/>
    <w:rsid w:val="001164FB"/>
    <w:rsid w:val="007907E1"/>
    <w:rsid w:val="007C7F8C"/>
    <w:rsid w:val="007F661D"/>
    <w:rsid w:val="00A9264C"/>
    <w:rsid w:val="00BE35C0"/>
    <w:rsid w:val="00C10123"/>
    <w:rsid w:val="00D523A1"/>
    <w:rsid w:val="01C73C8F"/>
    <w:rsid w:val="03C30C20"/>
    <w:rsid w:val="070E2AFA"/>
    <w:rsid w:val="079D5546"/>
    <w:rsid w:val="07C803D6"/>
    <w:rsid w:val="07C82CA9"/>
    <w:rsid w:val="07E4DBB4"/>
    <w:rsid w:val="09774863"/>
    <w:rsid w:val="0A065192"/>
    <w:rsid w:val="0B5B158D"/>
    <w:rsid w:val="0BFC73C5"/>
    <w:rsid w:val="0CC917A9"/>
    <w:rsid w:val="0D7C04B8"/>
    <w:rsid w:val="0FFB485C"/>
    <w:rsid w:val="10196798"/>
    <w:rsid w:val="10285406"/>
    <w:rsid w:val="105E6A32"/>
    <w:rsid w:val="1140319E"/>
    <w:rsid w:val="1163049F"/>
    <w:rsid w:val="123C043C"/>
    <w:rsid w:val="13F441F2"/>
    <w:rsid w:val="1490273B"/>
    <w:rsid w:val="15356FC9"/>
    <w:rsid w:val="17E16E45"/>
    <w:rsid w:val="182D1A4B"/>
    <w:rsid w:val="18591E3F"/>
    <w:rsid w:val="18B971EC"/>
    <w:rsid w:val="196B2397"/>
    <w:rsid w:val="19722343"/>
    <w:rsid w:val="197D7D98"/>
    <w:rsid w:val="1CBA5DAE"/>
    <w:rsid w:val="1DA41C5A"/>
    <w:rsid w:val="1ED76F10"/>
    <w:rsid w:val="1F3FD611"/>
    <w:rsid w:val="222F482F"/>
    <w:rsid w:val="226043D1"/>
    <w:rsid w:val="22893750"/>
    <w:rsid w:val="23B25BC6"/>
    <w:rsid w:val="259516C9"/>
    <w:rsid w:val="273B6E85"/>
    <w:rsid w:val="28A178BD"/>
    <w:rsid w:val="28A77E66"/>
    <w:rsid w:val="28FA7984"/>
    <w:rsid w:val="292A0397"/>
    <w:rsid w:val="29C94933"/>
    <w:rsid w:val="2A2D3427"/>
    <w:rsid w:val="2B9B27DC"/>
    <w:rsid w:val="2BEB2413"/>
    <w:rsid w:val="2C2D22A7"/>
    <w:rsid w:val="2CA51CD0"/>
    <w:rsid w:val="2CE23E3F"/>
    <w:rsid w:val="2CE94553"/>
    <w:rsid w:val="2E1777FA"/>
    <w:rsid w:val="2FEFE88B"/>
    <w:rsid w:val="31454F1C"/>
    <w:rsid w:val="32146291"/>
    <w:rsid w:val="338A299E"/>
    <w:rsid w:val="36383D63"/>
    <w:rsid w:val="376D31B4"/>
    <w:rsid w:val="3BDB4052"/>
    <w:rsid w:val="3E8E4360"/>
    <w:rsid w:val="3F082B9F"/>
    <w:rsid w:val="41B617E9"/>
    <w:rsid w:val="41EB44F9"/>
    <w:rsid w:val="425A7C8F"/>
    <w:rsid w:val="45A8785E"/>
    <w:rsid w:val="45D4032F"/>
    <w:rsid w:val="467B5477"/>
    <w:rsid w:val="4683693C"/>
    <w:rsid w:val="49254114"/>
    <w:rsid w:val="4A116E99"/>
    <w:rsid w:val="4B6C4B6D"/>
    <w:rsid w:val="4B712494"/>
    <w:rsid w:val="4C251A45"/>
    <w:rsid w:val="4DE32F84"/>
    <w:rsid w:val="4E97081F"/>
    <w:rsid w:val="4EF56517"/>
    <w:rsid w:val="4FDB798C"/>
    <w:rsid w:val="4FFF6F13"/>
    <w:rsid w:val="508E0C89"/>
    <w:rsid w:val="51705037"/>
    <w:rsid w:val="52884ADC"/>
    <w:rsid w:val="53565F6A"/>
    <w:rsid w:val="562A72C5"/>
    <w:rsid w:val="57BF9327"/>
    <w:rsid w:val="57EFF041"/>
    <w:rsid w:val="580D3913"/>
    <w:rsid w:val="583C7637"/>
    <w:rsid w:val="584E3742"/>
    <w:rsid w:val="5A7B63A6"/>
    <w:rsid w:val="5ADA6BF2"/>
    <w:rsid w:val="5C1D42CB"/>
    <w:rsid w:val="5CA408B1"/>
    <w:rsid w:val="5D9A25BD"/>
    <w:rsid w:val="5DCA5944"/>
    <w:rsid w:val="5E8C30F0"/>
    <w:rsid w:val="5EDFE924"/>
    <w:rsid w:val="5F5C0E82"/>
    <w:rsid w:val="5FF96F49"/>
    <w:rsid w:val="645914A5"/>
    <w:rsid w:val="651F0E1A"/>
    <w:rsid w:val="65424A51"/>
    <w:rsid w:val="65E7072D"/>
    <w:rsid w:val="68F75FCA"/>
    <w:rsid w:val="6A67401D"/>
    <w:rsid w:val="6B785C25"/>
    <w:rsid w:val="6D0B6C3F"/>
    <w:rsid w:val="6D778C81"/>
    <w:rsid w:val="6DCB1F97"/>
    <w:rsid w:val="6F2C1E74"/>
    <w:rsid w:val="727E137C"/>
    <w:rsid w:val="74C400AA"/>
    <w:rsid w:val="74DC70C1"/>
    <w:rsid w:val="75FF2848"/>
    <w:rsid w:val="76A24662"/>
    <w:rsid w:val="76E04CE6"/>
    <w:rsid w:val="778FAAC5"/>
    <w:rsid w:val="77E24E65"/>
    <w:rsid w:val="7B3335A7"/>
    <w:rsid w:val="7B7CCC3C"/>
    <w:rsid w:val="7BFE60A3"/>
    <w:rsid w:val="7CA423A7"/>
    <w:rsid w:val="7CC749D4"/>
    <w:rsid w:val="7E342674"/>
    <w:rsid w:val="7E7E340A"/>
    <w:rsid w:val="7F080287"/>
    <w:rsid w:val="7F8C0EB8"/>
    <w:rsid w:val="7FED0C5B"/>
    <w:rsid w:val="84ABD0CA"/>
    <w:rsid w:val="BEFF9D62"/>
    <w:rsid w:val="DFFDECB9"/>
    <w:rsid w:val="E9FF04CF"/>
    <w:rsid w:val="EBC6F47B"/>
    <w:rsid w:val="EBFF208E"/>
    <w:rsid w:val="EDFBBB3A"/>
    <w:rsid w:val="EEBFD317"/>
    <w:rsid w:val="FCFE2A01"/>
    <w:rsid w:val="FFFEF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qFormat="1"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qFormat="1" w:uiPriority="99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ind w:firstLine="720"/>
    </w:pPr>
  </w:style>
  <w:style w:type="paragraph" w:styleId="3">
    <w:name w:val="Body Text Indent"/>
    <w:basedOn w:val="1"/>
    <w:qFormat/>
    <w:uiPriority w:val="0"/>
    <w:pPr>
      <w:spacing w:after="120"/>
      <w:ind w:left="420" w:leftChars="2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5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6">
    <w:name w:val="HTML Preformatted"/>
    <w:basedOn w:val="1"/>
    <w:link w:val="12"/>
    <w:unhideWhenUsed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/>
      <w:kern w:val="0"/>
      <w:sz w:val="24"/>
    </w:rPr>
  </w:style>
  <w:style w:type="paragraph" w:styleId="7">
    <w:name w:val="Normal (Web)"/>
    <w:basedOn w:val="1"/>
    <w:qFormat/>
    <w:uiPriority w:val="0"/>
    <w:pPr>
      <w:spacing w:beforeAutospacing="1" w:afterAutospacing="1"/>
      <w:jc w:val="left"/>
    </w:pPr>
    <w:rPr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1">
    <w:name w:val="font11"/>
    <w:basedOn w:val="10"/>
    <w:qFormat/>
    <w:uiPriority w:val="0"/>
    <w:rPr>
      <w:rFonts w:hint="eastAsia" w:ascii="仿宋" w:hAnsi="仿宋" w:eastAsia="仿宋" w:cs="仿宋"/>
      <w:color w:val="000000"/>
      <w:sz w:val="30"/>
      <w:szCs w:val="30"/>
      <w:u w:val="none"/>
    </w:rPr>
  </w:style>
  <w:style w:type="character" w:customStyle="1" w:styleId="12">
    <w:name w:val="HTML 预设格式 Char"/>
    <w:basedOn w:val="10"/>
    <w:link w:val="6"/>
    <w:qFormat/>
    <w:uiPriority w:val="99"/>
    <w:rPr>
      <w:rFonts w:ascii="宋体" w:hAnsi="宋体" w:cs="宋体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273</Words>
  <Characters>1561</Characters>
  <Lines>13</Lines>
  <Paragraphs>3</Paragraphs>
  <TotalTime>0</TotalTime>
  <ScaleCrop>false</ScaleCrop>
  <LinksUpToDate>false</LinksUpToDate>
  <CharactersWithSpaces>1831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2022-03-03T05:34:00Z</dcterms:created>
  <dc:creator>庄小西</dc:creator>
  <cp:lastModifiedBy>姜宁</cp:lastModifiedBy>
  <cp:lastPrinted>2024-03-15T01:09:00Z</cp:lastPrinted>
  <dcterms:modified xsi:type="dcterms:W3CDTF">2024-03-17T09:14:59Z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9BF86A3F8EC7AD3EA1EDC2652E929323_43</vt:lpwstr>
  </property>
</Properties>
</file>